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D7" w:rsidRDefault="00864A42" w:rsidP="00DC4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864A42">
        <w:rPr>
          <w:b/>
          <w:sz w:val="72"/>
          <w:szCs w:val="72"/>
        </w:rPr>
        <w:t xml:space="preserve">PLÁN </w:t>
      </w:r>
      <w:r w:rsidR="004D35D7">
        <w:rPr>
          <w:b/>
          <w:sz w:val="72"/>
          <w:szCs w:val="72"/>
        </w:rPr>
        <w:t xml:space="preserve">ROZVOJE SPORTU </w:t>
      </w:r>
    </w:p>
    <w:p w:rsidR="004D35D7" w:rsidRPr="00DC4851" w:rsidRDefault="004D35D7" w:rsidP="0086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proofErr w:type="gramStart"/>
      <w:r w:rsidRPr="00DC4851">
        <w:rPr>
          <w:b/>
          <w:i/>
          <w:sz w:val="48"/>
          <w:szCs w:val="48"/>
        </w:rPr>
        <w:t>ve  MĚSTĚ</w:t>
      </w:r>
      <w:proofErr w:type="gramEnd"/>
      <w:r w:rsidR="00864A42" w:rsidRPr="00DC4851">
        <w:rPr>
          <w:b/>
          <w:i/>
          <w:sz w:val="48"/>
          <w:szCs w:val="48"/>
        </w:rPr>
        <w:t xml:space="preserve"> CHŘIBSKÁ </w:t>
      </w:r>
    </w:p>
    <w:p w:rsidR="00864A42" w:rsidRPr="00DC4851" w:rsidRDefault="004D35D7" w:rsidP="0086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sz w:val="72"/>
          <w:szCs w:val="72"/>
        </w:rPr>
        <w:t xml:space="preserve">  </w:t>
      </w:r>
      <w:r w:rsidR="00864A42" w:rsidRPr="00DC4851">
        <w:rPr>
          <w:b/>
          <w:i/>
          <w:sz w:val="36"/>
          <w:szCs w:val="36"/>
        </w:rPr>
        <w:t>201</w:t>
      </w:r>
      <w:r w:rsidR="004D3596" w:rsidRPr="00DC4851">
        <w:rPr>
          <w:b/>
          <w:i/>
          <w:sz w:val="36"/>
          <w:szCs w:val="36"/>
        </w:rPr>
        <w:t>9</w:t>
      </w:r>
      <w:r w:rsidRPr="00DC4851">
        <w:rPr>
          <w:b/>
          <w:i/>
          <w:sz w:val="36"/>
          <w:szCs w:val="36"/>
        </w:rPr>
        <w:t xml:space="preserve"> - 202</w:t>
      </w:r>
      <w:r w:rsidR="004D3596" w:rsidRPr="00DC4851">
        <w:rPr>
          <w:b/>
          <w:i/>
          <w:sz w:val="36"/>
          <w:szCs w:val="36"/>
        </w:rPr>
        <w:t>2</w:t>
      </w:r>
    </w:p>
    <w:p w:rsidR="00864A42" w:rsidRDefault="00864A42"/>
    <w:p w:rsidR="00864A42" w:rsidRDefault="00864A42">
      <w:r>
        <w:t xml:space="preserve">                                       </w:t>
      </w:r>
    </w:p>
    <w:p w:rsidR="00864A42" w:rsidRDefault="00864A42"/>
    <w:p w:rsidR="00864A42" w:rsidRDefault="00864A42">
      <w:r>
        <w:t xml:space="preserve">                                                </w:t>
      </w:r>
    </w:p>
    <w:p w:rsidR="00864A42" w:rsidRDefault="00864A42" w:rsidP="00864A42">
      <w:pPr>
        <w:jc w:val="center"/>
      </w:pPr>
      <w:r>
        <w:rPr>
          <w:noProof/>
          <w:lang w:eastAsia="cs-CZ"/>
        </w:rPr>
        <w:drawing>
          <wp:inline distT="0" distB="0" distL="0" distR="0" wp14:anchorId="096DD0F7" wp14:editId="54F6524B">
            <wp:extent cx="3429000" cy="3352800"/>
            <wp:effectExtent l="0" t="0" r="0" b="0"/>
            <wp:docPr id="2" name="Obrázek 2" descr="D:\PC\Desktop\barevne samo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\Desktop\barevne samot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6D" w:rsidRDefault="0018326D" w:rsidP="00864A42">
      <w:pPr>
        <w:jc w:val="center"/>
      </w:pPr>
    </w:p>
    <w:p w:rsidR="0018326D" w:rsidRDefault="0018326D" w:rsidP="00864A42">
      <w:pPr>
        <w:jc w:val="center"/>
      </w:pPr>
    </w:p>
    <w:p w:rsidR="0018326D" w:rsidRDefault="0018326D" w:rsidP="00864A42">
      <w:pPr>
        <w:jc w:val="center"/>
      </w:pPr>
    </w:p>
    <w:p w:rsidR="0018326D" w:rsidRDefault="0018326D" w:rsidP="00864A42">
      <w:pPr>
        <w:jc w:val="center"/>
      </w:pPr>
    </w:p>
    <w:p w:rsidR="0018326D" w:rsidRDefault="0018326D" w:rsidP="00864A42">
      <w:pPr>
        <w:jc w:val="center"/>
      </w:pPr>
    </w:p>
    <w:p w:rsidR="0018326D" w:rsidRDefault="0018326D" w:rsidP="00864A42">
      <w:pPr>
        <w:jc w:val="center"/>
      </w:pPr>
    </w:p>
    <w:p w:rsidR="00DC4851" w:rsidRDefault="00DC4851" w:rsidP="00864A42">
      <w:pPr>
        <w:jc w:val="center"/>
      </w:pPr>
    </w:p>
    <w:p w:rsidR="0018326D" w:rsidRDefault="0018326D" w:rsidP="004D35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 w:rsidRPr="004D35D7">
        <w:rPr>
          <w:rFonts w:ascii="BookAntiqua,Bold" w:hAnsi="BookAntiqua,Bold" w:cs="BookAntiqua,Bold"/>
          <w:b/>
          <w:bCs/>
          <w:sz w:val="28"/>
          <w:szCs w:val="28"/>
        </w:rPr>
        <w:lastRenderedPageBreak/>
        <w:t>Úvod</w:t>
      </w:r>
    </w:p>
    <w:p w:rsidR="00DC4851" w:rsidRPr="00DC4851" w:rsidRDefault="00DC4851" w:rsidP="00DC485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4D35D7" w:rsidRPr="004D35D7" w:rsidRDefault="004D35D7" w:rsidP="004D35D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8"/>
          <w:szCs w:val="28"/>
        </w:rPr>
      </w:pPr>
    </w:p>
    <w:p w:rsidR="0018326D" w:rsidRDefault="009E3E52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</w:t>
      </w:r>
      <w:r w:rsidR="004D35D7">
        <w:rPr>
          <w:rFonts w:ascii="BookAntiqua" w:hAnsi="BookAntiqua" w:cs="BookAntiqua"/>
        </w:rPr>
        <w:t xml:space="preserve">Oblast sportu je v posledních letech velmi dynamickou oblastí, která svým způsobem reaguje na změny </w:t>
      </w:r>
      <w:proofErr w:type="gramStart"/>
      <w:r w:rsidR="004D35D7">
        <w:rPr>
          <w:rFonts w:ascii="BookAntiqua" w:hAnsi="BookAntiqua" w:cs="BookAntiqua"/>
        </w:rPr>
        <w:t>ekonomických , sociálních</w:t>
      </w:r>
      <w:proofErr w:type="gramEnd"/>
      <w:r w:rsidR="004D35D7">
        <w:rPr>
          <w:rFonts w:ascii="BookAntiqua" w:hAnsi="BookAntiqua" w:cs="BookAntiqua"/>
        </w:rPr>
        <w:t xml:space="preserve"> i životních podmínek. </w:t>
      </w:r>
      <w:r>
        <w:rPr>
          <w:rFonts w:ascii="BookAntiqua" w:hAnsi="BookAntiqua" w:cs="BookAntiqua"/>
        </w:rPr>
        <w:t xml:space="preserve">Současně se </w:t>
      </w:r>
      <w:proofErr w:type="gramStart"/>
      <w:r>
        <w:rPr>
          <w:rFonts w:ascii="BookAntiqua" w:hAnsi="BookAntiqua" w:cs="BookAntiqua"/>
        </w:rPr>
        <w:t>zvyšují</w:t>
      </w:r>
      <w:proofErr w:type="gramEnd"/>
      <w:r>
        <w:rPr>
          <w:rFonts w:ascii="BookAntiqua" w:hAnsi="BookAntiqua" w:cs="BookAntiqua"/>
        </w:rPr>
        <w:t xml:space="preserve"> hodnota zdraví, roste snaha o zkvalitňování života, smysluplné aktivní užívání volného času, zdravý životní styl, ale také o sociální kontakt, seberealizaci a aktivní odpočinek.</w:t>
      </w:r>
    </w:p>
    <w:p w:rsidR="009E3E52" w:rsidRDefault="009E3E52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Pohybové aktivity dětí dlouhodobě klesají, rovněž dlouhodobě klesá jejich fyzická zdatnost a snižuje se pohybová gramotnost. Nedostatek přirozeného pohybu vede ke zvýšenému výskytu dětské obezity. Nadváhou nebo obezitou trpí přibližně 25% chlapců a 13% dívek v české populaci.</w:t>
      </w:r>
    </w:p>
    <w:p w:rsidR="009E3E52" w:rsidRDefault="009E3E52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 Plán rozvoje ve městě Chřibská je </w:t>
      </w:r>
      <w:proofErr w:type="gramStart"/>
      <w:r>
        <w:rPr>
          <w:rFonts w:ascii="BookAntiqua" w:hAnsi="BookAntiqua" w:cs="BookAntiqua"/>
        </w:rPr>
        <w:t>zpracován  ve</w:t>
      </w:r>
      <w:proofErr w:type="gramEnd"/>
      <w:r>
        <w:rPr>
          <w:rFonts w:ascii="BookAntiqua" w:hAnsi="BookAntiqua" w:cs="BookAntiqua"/>
        </w:rPr>
        <w:t xml:space="preserve"> smyslu § 6 odst. 2 zákona č. 115/2001 Sb. O podpoře sportu, ve znění pozdějších předpisů. Plán rozvoje sportu ve městě Chřibská je dokumentem, který se může měnit či doplňovat</w:t>
      </w:r>
      <w:r w:rsidR="00D27A43">
        <w:rPr>
          <w:rFonts w:ascii="BookAntiqua" w:hAnsi="BookAntiqua" w:cs="BookAntiqua"/>
        </w:rPr>
        <w:t xml:space="preserve"> v závislosti na prioritách a potřebách města a jejich obyvatel. Cílem tohoto plánu je obecně podpořit sport ve všech rovinách ve městě a navrhnout i způsob financování podpory sportu ve městě. Snahou je vycházet z potřeb obyvatel a podpora se bude odvíjet i od sportovně historických tradic. Snahou obce bude také koordinovat činnost sportovních subjektů, respektování potřeb svých občanů, kontrola efektivnosti vynaložených finančních prostředků.</w:t>
      </w:r>
    </w:p>
    <w:p w:rsidR="004D35D7" w:rsidRDefault="004D35D7" w:rsidP="0018326D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8"/>
          <w:szCs w:val="28"/>
        </w:rPr>
      </w:pPr>
    </w:p>
    <w:p w:rsidR="0018326D" w:rsidRPr="00DC4851" w:rsidRDefault="00585AEB" w:rsidP="00DC48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 w:rsidRPr="00DC4851">
        <w:rPr>
          <w:rFonts w:ascii="BookAntiqua,Bold" w:hAnsi="BookAntiqua,Bold" w:cs="BookAntiqua,Bold"/>
          <w:b/>
          <w:bCs/>
          <w:sz w:val="28"/>
          <w:szCs w:val="28"/>
        </w:rPr>
        <w:t>Základní charakteristika města.</w:t>
      </w:r>
    </w:p>
    <w:p w:rsidR="00DC4851" w:rsidRPr="00DC4851" w:rsidRDefault="00DC4851" w:rsidP="00DC4851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18326D" w:rsidRPr="00585AEB" w:rsidRDefault="0018326D" w:rsidP="0018326D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8"/>
          <w:szCs w:val="28"/>
        </w:rPr>
      </w:pPr>
    </w:p>
    <w:p w:rsidR="0018326D" w:rsidRPr="009A194A" w:rsidRDefault="00585AE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9A194A">
        <w:rPr>
          <w:rFonts w:ascii="BookAntiqua" w:hAnsi="BookAntiqua" w:cs="BookAntiqua"/>
          <w:b/>
        </w:rPr>
        <w:t xml:space="preserve">Rozloha </w:t>
      </w:r>
      <w:proofErr w:type="gramStart"/>
      <w:r w:rsidRPr="009A194A">
        <w:rPr>
          <w:rFonts w:ascii="BookAntiqua" w:hAnsi="BookAntiqua" w:cs="BookAntiqua"/>
          <w:b/>
        </w:rPr>
        <w:t xml:space="preserve">města :                      </w:t>
      </w:r>
      <w:r w:rsidR="003759D5">
        <w:rPr>
          <w:rFonts w:ascii="BookAntiqua" w:hAnsi="BookAntiqua" w:cs="BookAntiqua"/>
          <w:b/>
        </w:rPr>
        <w:t>1721</w:t>
      </w:r>
      <w:proofErr w:type="gramEnd"/>
      <w:r w:rsidR="003759D5">
        <w:rPr>
          <w:rFonts w:ascii="BookAntiqua" w:hAnsi="BookAntiqua" w:cs="BookAntiqua"/>
          <w:b/>
        </w:rPr>
        <w:t xml:space="preserve"> ha</w:t>
      </w: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9A194A">
        <w:rPr>
          <w:rFonts w:ascii="BookAntiqua" w:hAnsi="BookAntiqua" w:cs="BookAntiqua"/>
          <w:b/>
        </w:rPr>
        <w:t>Počet obyvat</w:t>
      </w:r>
      <w:r w:rsidR="003759D5">
        <w:rPr>
          <w:rFonts w:ascii="BookAntiqua" w:hAnsi="BookAntiqua" w:cs="BookAntiqua"/>
          <w:b/>
        </w:rPr>
        <w:t xml:space="preserve">el (k </w:t>
      </w:r>
      <w:proofErr w:type="gramStart"/>
      <w:r w:rsidR="003759D5">
        <w:rPr>
          <w:rFonts w:ascii="BookAntiqua" w:hAnsi="BookAntiqua" w:cs="BookAntiqua"/>
          <w:b/>
        </w:rPr>
        <w:t>1.1.2018</w:t>
      </w:r>
      <w:proofErr w:type="gramEnd"/>
      <w:r w:rsidR="003759D5">
        <w:rPr>
          <w:rFonts w:ascii="BookAntiqua" w:hAnsi="BookAntiqua" w:cs="BookAntiqua"/>
          <w:b/>
        </w:rPr>
        <w:t>)     1325</w:t>
      </w: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F656B" w:rsidRPr="009A194A" w:rsidRDefault="003759D5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 xml:space="preserve">Počet části </w:t>
      </w:r>
      <w:proofErr w:type="gramStart"/>
      <w:r>
        <w:rPr>
          <w:rFonts w:ascii="BookAntiqua" w:hAnsi="BookAntiqua" w:cs="BookAntiqua"/>
          <w:b/>
        </w:rPr>
        <w:t>obce :                         4</w:t>
      </w:r>
      <w:proofErr w:type="gramEnd"/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9A194A">
        <w:rPr>
          <w:rFonts w:ascii="BookAntiqua" w:hAnsi="BookAntiqua" w:cs="BookAntiqua"/>
          <w:b/>
        </w:rPr>
        <w:t xml:space="preserve">Věková struktura obyvatel města Chřibská (k </w:t>
      </w:r>
      <w:proofErr w:type="gramStart"/>
      <w:r w:rsidRPr="009A194A">
        <w:rPr>
          <w:rFonts w:ascii="BookAntiqua" w:hAnsi="BookAntiqua" w:cs="BookAntiqua"/>
          <w:b/>
        </w:rPr>
        <w:t>1.1.2018</w:t>
      </w:r>
      <w:proofErr w:type="gramEnd"/>
      <w:r w:rsidRPr="009A194A">
        <w:rPr>
          <w:rFonts w:ascii="BookAntiqua" w:hAnsi="BookAntiqua" w:cs="BookAntiqua"/>
          <w:b/>
        </w:rPr>
        <w:t>)</w:t>
      </w: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proofErr w:type="gramStart"/>
      <w:r w:rsidRPr="009A194A">
        <w:rPr>
          <w:rFonts w:ascii="BookAntiqua" w:hAnsi="BookAntiqua" w:cs="BookAntiqua"/>
          <w:b/>
        </w:rPr>
        <w:t xml:space="preserve">Celkem :         </w:t>
      </w:r>
      <w:r w:rsidR="003759D5">
        <w:rPr>
          <w:rFonts w:ascii="BookAntiqua" w:hAnsi="BookAntiqua" w:cs="BookAntiqua"/>
          <w:b/>
        </w:rPr>
        <w:t xml:space="preserve">     1325</w:t>
      </w:r>
      <w:proofErr w:type="gramEnd"/>
      <w:r w:rsidR="003759D5">
        <w:rPr>
          <w:rFonts w:ascii="BookAntiqua" w:hAnsi="BookAntiqua" w:cs="BookAntiqua"/>
          <w:b/>
        </w:rPr>
        <w:t xml:space="preserve">                   </w:t>
      </w:r>
      <w:r w:rsidRPr="009A194A">
        <w:rPr>
          <w:rFonts w:ascii="BookAntiqua" w:hAnsi="BookAntiqua" w:cs="BookAntiqua"/>
          <w:b/>
        </w:rPr>
        <w:t xml:space="preserve">     Muži :  </w:t>
      </w:r>
      <w:r w:rsidR="003759D5">
        <w:rPr>
          <w:rFonts w:ascii="BookAntiqua" w:hAnsi="BookAntiqua" w:cs="BookAntiqua"/>
          <w:b/>
        </w:rPr>
        <w:t>678</w:t>
      </w:r>
      <w:r w:rsidRPr="009A194A">
        <w:rPr>
          <w:rFonts w:ascii="BookAntiqua" w:hAnsi="BookAntiqua" w:cs="BookAntiqua"/>
          <w:b/>
        </w:rPr>
        <w:t xml:space="preserve">  </w:t>
      </w:r>
      <w:r w:rsidR="003759D5">
        <w:rPr>
          <w:rFonts w:ascii="BookAntiqua" w:hAnsi="BookAntiqua" w:cs="BookAntiqua"/>
          <w:b/>
        </w:rPr>
        <w:t xml:space="preserve">             </w:t>
      </w:r>
      <w:r w:rsidRPr="009A194A">
        <w:rPr>
          <w:rFonts w:ascii="BookAntiqua" w:hAnsi="BookAntiqua" w:cs="BookAntiqua"/>
          <w:b/>
        </w:rPr>
        <w:t xml:space="preserve">         Ženy :</w:t>
      </w:r>
      <w:r w:rsidR="003759D5">
        <w:rPr>
          <w:rFonts w:ascii="BookAntiqua" w:hAnsi="BookAntiqua" w:cs="BookAntiqua"/>
          <w:b/>
        </w:rPr>
        <w:t xml:space="preserve">  647</w:t>
      </w:r>
    </w:p>
    <w:p w:rsidR="009F656B" w:rsidRPr="009A194A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9A194A">
        <w:rPr>
          <w:rFonts w:ascii="BookAntiqua" w:hAnsi="BookAntiqua" w:cs="BookAntiqua"/>
          <w:b/>
        </w:rPr>
        <w:t xml:space="preserve">0-14 </w:t>
      </w:r>
      <w:proofErr w:type="gramStart"/>
      <w:r w:rsidRPr="009A194A">
        <w:rPr>
          <w:rFonts w:ascii="BookAntiqua" w:hAnsi="BookAntiqua" w:cs="BookAntiqua"/>
          <w:b/>
        </w:rPr>
        <w:t>roků :</w:t>
      </w:r>
      <w:r w:rsidR="003759D5">
        <w:rPr>
          <w:rFonts w:ascii="BookAntiqua" w:hAnsi="BookAntiqua" w:cs="BookAntiqua"/>
          <w:b/>
        </w:rPr>
        <w:t xml:space="preserve">            190                                     102                                       88</w:t>
      </w:r>
      <w:proofErr w:type="gramEnd"/>
    </w:p>
    <w:p w:rsidR="009F656B" w:rsidRPr="00023675" w:rsidRDefault="003759D5" w:rsidP="000236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proofErr w:type="gramStart"/>
      <w:r>
        <w:rPr>
          <w:rFonts w:ascii="BookAntiqua" w:hAnsi="BookAntiqua" w:cs="BookAntiqua"/>
          <w:b/>
        </w:rPr>
        <w:t>r</w:t>
      </w:r>
      <w:r w:rsidR="009F656B" w:rsidRPr="00023675">
        <w:rPr>
          <w:rFonts w:ascii="BookAntiqua" w:hAnsi="BookAntiqua" w:cs="BookAntiqua"/>
          <w:b/>
        </w:rPr>
        <w:t>oků :</w:t>
      </w:r>
      <w:r>
        <w:rPr>
          <w:rFonts w:ascii="BookAntiqua" w:hAnsi="BookAntiqua" w:cs="BookAntiqua"/>
          <w:b/>
        </w:rPr>
        <w:t xml:space="preserve">         880                                     462                                     418</w:t>
      </w:r>
      <w:proofErr w:type="gramEnd"/>
      <w:r>
        <w:rPr>
          <w:rFonts w:ascii="BookAntiqua" w:hAnsi="BookAntiqua" w:cs="BookAntiqua"/>
          <w:b/>
        </w:rPr>
        <w:t xml:space="preserve"> </w:t>
      </w:r>
    </w:p>
    <w:p w:rsidR="009F656B" w:rsidRDefault="009F656B" w:rsidP="0002367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023675">
        <w:rPr>
          <w:rFonts w:ascii="BookAntiqua" w:hAnsi="BookAntiqua" w:cs="BookAntiqua"/>
          <w:b/>
        </w:rPr>
        <w:t xml:space="preserve"> :</w:t>
      </w:r>
      <w:r w:rsidR="003759D5">
        <w:rPr>
          <w:rFonts w:ascii="BookAntiqua" w:hAnsi="BookAntiqua" w:cs="BookAntiqua"/>
          <w:b/>
        </w:rPr>
        <w:t xml:space="preserve">                 255                                     114                                     141</w:t>
      </w:r>
    </w:p>
    <w:p w:rsidR="003759D5" w:rsidRPr="00023675" w:rsidRDefault="003759D5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9F656B" w:rsidRPr="00023675" w:rsidRDefault="009F656B" w:rsidP="000236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 w:rsidRPr="00023675">
        <w:rPr>
          <w:rFonts w:ascii="BookAntiqua,Bold" w:hAnsi="BookAntiqua,Bold" w:cs="BookAntiqua,Bold"/>
          <w:b/>
          <w:bCs/>
          <w:sz w:val="28"/>
          <w:szCs w:val="28"/>
        </w:rPr>
        <w:t>Základní legislativní normy.</w:t>
      </w:r>
    </w:p>
    <w:p w:rsidR="009F656B" w:rsidRPr="009F656B" w:rsidRDefault="009F656B" w:rsidP="009F656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8"/>
          <w:szCs w:val="28"/>
        </w:rPr>
      </w:pP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585AE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Základní </w:t>
      </w:r>
      <w:proofErr w:type="gramStart"/>
      <w:r>
        <w:rPr>
          <w:rFonts w:ascii="BookAntiqua" w:hAnsi="BookAntiqua" w:cs="BookAntiqua"/>
        </w:rPr>
        <w:t>dokumenty :</w:t>
      </w:r>
      <w:proofErr w:type="gramEnd"/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Zákon č. 115/2001 Sb., o podpoře sportu</w:t>
      </w: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Koncepce podpory sportu 2018-2025 Sport 2025(MŠMT ČR, </w:t>
      </w:r>
      <w:proofErr w:type="gramStart"/>
      <w:r>
        <w:rPr>
          <w:rFonts w:ascii="BookAntiqua" w:hAnsi="BookAntiqua" w:cs="BookAntiqua"/>
        </w:rPr>
        <w:t>27.6.2016</w:t>
      </w:r>
      <w:proofErr w:type="gramEnd"/>
      <w:r>
        <w:rPr>
          <w:rFonts w:ascii="BookAntiqua" w:hAnsi="BookAntiqua" w:cs="BookAntiqua"/>
        </w:rPr>
        <w:t>)</w:t>
      </w: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Zákon č.128/2000 Sb., o obcích (obecní zřízení)</w:t>
      </w: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Zákon č. 250/2000 Sb., o rozpočtových pravidlech územních rozpočtů.</w:t>
      </w:r>
    </w:p>
    <w:p w:rsidR="009F656B" w:rsidRDefault="009F656B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18326D" w:rsidRDefault="0018326D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18326D" w:rsidRDefault="0018326D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3759D5" w:rsidRDefault="003759D5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3759D5" w:rsidRDefault="003759D5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3759D5" w:rsidRDefault="003759D5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3759D5" w:rsidRDefault="003759D5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18326D" w:rsidRDefault="0018326D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18326D">
        <w:rPr>
          <w:rFonts w:ascii="BookAntiqua" w:hAnsi="BookAntiqua" w:cs="BookAntiqua"/>
          <w:b/>
        </w:rPr>
        <w:t>Zák</w:t>
      </w:r>
      <w:r w:rsidR="002F6A30">
        <w:rPr>
          <w:rFonts w:ascii="BookAntiqua" w:hAnsi="BookAntiqua" w:cs="BookAntiqua"/>
          <w:b/>
        </w:rPr>
        <w:t>on č. 115/2001 Sb., o podpoře sportu, ve znění pozdějších předpisů</w:t>
      </w:r>
    </w:p>
    <w:p w:rsidR="002F6A30" w:rsidRDefault="002F6A30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2F6A30" w:rsidRDefault="002F6A30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§ 6 Úkoly obcí</w:t>
      </w:r>
    </w:p>
    <w:p w:rsidR="0018326D" w:rsidRDefault="0018326D" w:rsidP="002F6A3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18326D" w:rsidRDefault="0018326D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 w:rsidRPr="0018326D">
        <w:rPr>
          <w:rFonts w:ascii="BookAntiqua" w:hAnsi="BookAntiqua" w:cs="BookAntiqua"/>
          <w:b/>
        </w:rPr>
        <w:t>c) Základní povinnosti uživatelů místních komunikací</w:t>
      </w:r>
    </w:p>
    <w:p w:rsidR="002F6A30" w:rsidRDefault="002F6A30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 xml:space="preserve">Obce ve své samostatné působnosti vytvářejí podmínky pro sport, </w:t>
      </w:r>
      <w:proofErr w:type="gramStart"/>
      <w:r>
        <w:rPr>
          <w:rFonts w:ascii="BookAntiqua" w:hAnsi="BookAntiqua" w:cs="BookAntiqua"/>
          <w:b/>
        </w:rPr>
        <w:t>zejména :</w:t>
      </w:r>
      <w:proofErr w:type="gramEnd"/>
    </w:p>
    <w:p w:rsidR="002F6A30" w:rsidRDefault="002F6A30" w:rsidP="0018326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2F6A30" w:rsidRPr="00A827C5" w:rsidRDefault="002F6A30" w:rsidP="002F6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Zabezpečují rozvoj sportu pro všechny, zejména pro mládež</w:t>
      </w:r>
      <w:r w:rsidR="00793B42" w:rsidRPr="00A827C5">
        <w:rPr>
          <w:rFonts w:ascii="BookAntiqua" w:hAnsi="BookAntiqua" w:cs="BookAntiqua"/>
        </w:rPr>
        <w:t>,</w:t>
      </w:r>
    </w:p>
    <w:p w:rsidR="00793B42" w:rsidRPr="00A827C5" w:rsidRDefault="00793B42" w:rsidP="002F6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Zabezpečují přípravu sportovních talentů, včetně zdravotně postižených občanů,</w:t>
      </w:r>
    </w:p>
    <w:p w:rsidR="00793B42" w:rsidRPr="00A827C5" w:rsidRDefault="00793B42" w:rsidP="002F6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Zajišťují výstavbu, rekonstrukce, udržování a provozování svých sportovních zařízení a poskytují je pro sportovní činnosti občanů,</w:t>
      </w:r>
    </w:p>
    <w:p w:rsidR="00793B42" w:rsidRPr="00A827C5" w:rsidRDefault="00793B42" w:rsidP="002F6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Kontrolují účelné využívání svých sportovních zařízení,</w:t>
      </w:r>
    </w:p>
    <w:p w:rsidR="00793B42" w:rsidRPr="00A827C5" w:rsidRDefault="00793B42" w:rsidP="002F6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Zabezpečují finanční podporu sportu ze svého rozpočtu.</w:t>
      </w:r>
    </w:p>
    <w:p w:rsidR="004B7E57" w:rsidRDefault="004B7E57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4B7E57" w:rsidRDefault="004B7E57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4B7E57" w:rsidRDefault="001869BA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>§ 6a Plány v oblasti sportu, odst. (2)</w:t>
      </w:r>
    </w:p>
    <w:p w:rsidR="001869BA" w:rsidRDefault="001869BA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1869BA" w:rsidRPr="00A827C5" w:rsidRDefault="001869BA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 xml:space="preserve">Plán rozvoje sportu v obci nebo kraji obsahuje zejména vymezení oblasti podpory sportu, stanovení priorit v jednotlivých oblastech podpory sportu a </w:t>
      </w:r>
      <w:proofErr w:type="spellStart"/>
      <w:r w:rsidRPr="00A827C5">
        <w:rPr>
          <w:rFonts w:ascii="BookAntiqua" w:hAnsi="BookAntiqua" w:cs="BookAntiqua"/>
        </w:rPr>
        <w:t>optření</w:t>
      </w:r>
      <w:proofErr w:type="spellEnd"/>
      <w:r w:rsidRPr="00A827C5">
        <w:rPr>
          <w:rFonts w:ascii="BookAntiqua" w:hAnsi="BookAntiqua" w:cs="BookAntiqua"/>
        </w:rPr>
        <w:t xml:space="preserve"> k zajištění dostupnosti sportovních zařízení pro občan</w:t>
      </w:r>
      <w:r w:rsidR="00340B1E" w:rsidRPr="00A827C5">
        <w:rPr>
          <w:rFonts w:ascii="BookAntiqua" w:hAnsi="BookAntiqua" w:cs="BookAntiqua"/>
        </w:rPr>
        <w:t xml:space="preserve">y </w:t>
      </w:r>
      <w:proofErr w:type="gramStart"/>
      <w:r w:rsidR="00340B1E" w:rsidRPr="00A827C5">
        <w:rPr>
          <w:rFonts w:ascii="BookAntiqua" w:hAnsi="BookAntiqua" w:cs="BookAntiqua"/>
        </w:rPr>
        <w:t>obce . Součástí</w:t>
      </w:r>
      <w:proofErr w:type="gramEnd"/>
      <w:r w:rsidR="00340B1E" w:rsidRPr="00A827C5">
        <w:rPr>
          <w:rFonts w:ascii="BookAntiqua" w:hAnsi="BookAntiqua" w:cs="BookAntiqua"/>
        </w:rPr>
        <w:t xml:space="preserve"> plánu je také určení prostředků z rozpočtu města, které jsou nezbytné k naplnění plánu.</w:t>
      </w:r>
    </w:p>
    <w:p w:rsidR="00340B1E" w:rsidRDefault="00340B1E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340B1E" w:rsidRDefault="00340B1E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proofErr w:type="spellStart"/>
      <w:r>
        <w:rPr>
          <w:rFonts w:ascii="BookAntiqua" w:hAnsi="BookAntiqua" w:cs="BookAntiqua"/>
          <w:b/>
        </w:rPr>
        <w:t>Záko</w:t>
      </w:r>
      <w:proofErr w:type="spellEnd"/>
      <w:r>
        <w:rPr>
          <w:rFonts w:ascii="BookAntiqua" w:hAnsi="BookAntiqua" w:cs="BookAntiqua"/>
          <w:b/>
        </w:rPr>
        <w:t xml:space="preserve"> č. 128/2000 Sb., o obcích (obecní zřízení), ve znění pozdějších předpisů</w:t>
      </w: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>§ 85, odst. C)</w:t>
      </w: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 xml:space="preserve">Zastupitelstvu města je dále vyhrazeno rozhodování o těchto majetkoprávních </w:t>
      </w:r>
      <w:proofErr w:type="gramStart"/>
      <w:r>
        <w:rPr>
          <w:rFonts w:ascii="BookAntiqua" w:hAnsi="BookAntiqua" w:cs="BookAntiqua"/>
          <w:b/>
        </w:rPr>
        <w:t>úkonech :</w:t>
      </w:r>
      <w:proofErr w:type="gramEnd"/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741A6" w:rsidRPr="00A827C5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c) poskytování dotací nad 50.000 Kč v jednotlivých případech občanským sdružením, humanitárním organizacím a jiných fyzickým nebo právnickým osobám působícím v oblasti mládeže, tělovýchovy a sportu, sociálních služeb, podpory rodin, požární ochrany, kultury, vzdělávání a vědy, zdravotnictví, protidrogových aktivit, prevence kriminality a ochrany životního prostředí.</w:t>
      </w:r>
    </w:p>
    <w:p w:rsidR="009741A6" w:rsidRPr="00A827C5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9741A6" w:rsidRPr="00A827C5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Zákon č. 250/2000 Sb., o rozpočtových pravidlech územních rozpočtů, ve znění pozdějších předpisů</w:t>
      </w: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>§ 9 Výdaje rozpočtu obce</w:t>
      </w:r>
    </w:p>
    <w:p w:rsidR="009741A6" w:rsidRDefault="009741A6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9741A6" w:rsidRDefault="009741A6" w:rsidP="009741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  <w:r>
        <w:rPr>
          <w:rFonts w:ascii="BookAntiqua" w:hAnsi="BookAntiqua" w:cs="BookAntiqua"/>
          <w:b/>
        </w:rPr>
        <w:t>Z rozpočtu obce se hradí zejména</w:t>
      </w:r>
    </w:p>
    <w:p w:rsidR="009741A6" w:rsidRDefault="009741A6" w:rsidP="009741A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BookAntiqua" w:hAnsi="BookAntiqua" w:cs="BookAntiqua"/>
          <w:b/>
        </w:rPr>
      </w:pPr>
    </w:p>
    <w:p w:rsidR="009741A6" w:rsidRPr="00A827C5" w:rsidRDefault="009741A6" w:rsidP="00974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Závazky vyplývající pro město z plnění povinnosti uložených jí zákony,</w:t>
      </w:r>
    </w:p>
    <w:p w:rsidR="009741A6" w:rsidRPr="00A827C5" w:rsidRDefault="009741A6" w:rsidP="00974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Výdaje na vlastní činnost města v její samostatné působnosti, zejména výdaje spojené s </w:t>
      </w:r>
      <w:proofErr w:type="gramStart"/>
      <w:r w:rsidRPr="00A827C5">
        <w:rPr>
          <w:rFonts w:ascii="BookAntiqua" w:hAnsi="BookAntiqua" w:cs="BookAntiqua"/>
        </w:rPr>
        <w:t>péči</w:t>
      </w:r>
      <w:proofErr w:type="gramEnd"/>
      <w:r w:rsidRPr="00A827C5">
        <w:rPr>
          <w:rFonts w:ascii="BookAntiqua" w:hAnsi="BookAntiqua" w:cs="BookAntiqua"/>
        </w:rPr>
        <w:t xml:space="preserve"> o vlastní majetek a jeho rozvoj,</w:t>
      </w:r>
    </w:p>
    <w:p w:rsidR="00100927" w:rsidRPr="00A827C5" w:rsidRDefault="00100927" w:rsidP="00974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Výdaje na podporu subjektů provádějících veřejně prospěšné činnosti a na podporu soukromého podnikání prospěšného pro obec,</w:t>
      </w:r>
    </w:p>
    <w:p w:rsidR="00100927" w:rsidRPr="00A827C5" w:rsidRDefault="00100927" w:rsidP="00974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 w:rsidRPr="00A827C5">
        <w:rPr>
          <w:rFonts w:ascii="BookAntiqua" w:hAnsi="BookAntiqua" w:cs="BookAntiqua"/>
        </w:rPr>
        <w:t>Jiné výdaje uskutečněné v rámci působnosti města, včetně darů a příspěvků na sociální nebo jiné humanitární účely.</w:t>
      </w:r>
    </w:p>
    <w:p w:rsidR="009741A6" w:rsidRDefault="009741A6" w:rsidP="009741A6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BookAntiqua" w:hAnsi="BookAntiqua" w:cs="BookAntiqua"/>
          <w:b/>
        </w:rPr>
      </w:pPr>
    </w:p>
    <w:p w:rsidR="001869BA" w:rsidRDefault="001869BA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3759D5" w:rsidRDefault="003759D5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3759D5" w:rsidRDefault="003759D5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3759D5" w:rsidRDefault="003759D5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3759D5" w:rsidRDefault="003759D5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023675" w:rsidRDefault="00023675" w:rsidP="000236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>
        <w:rPr>
          <w:rFonts w:ascii="BookAntiqua,Bold" w:hAnsi="BookAntiqua,Bold" w:cs="BookAntiqua,Bold"/>
          <w:b/>
          <w:bCs/>
          <w:sz w:val="28"/>
          <w:szCs w:val="28"/>
        </w:rPr>
        <w:t>Školní sport</w:t>
      </w:r>
      <w:r w:rsidRPr="00023675">
        <w:rPr>
          <w:rFonts w:ascii="BookAntiqua,Bold" w:hAnsi="BookAntiqua,Bold" w:cs="BookAntiqua,Bold"/>
          <w:b/>
          <w:bCs/>
          <w:sz w:val="28"/>
          <w:szCs w:val="28"/>
        </w:rPr>
        <w:t>.</w:t>
      </w:r>
    </w:p>
    <w:p w:rsidR="00023675" w:rsidRDefault="00023675" w:rsidP="0002367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023675" w:rsidRDefault="00023675" w:rsidP="0002367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</w:rPr>
      </w:pPr>
      <w:r w:rsidRPr="00A827C5">
        <w:rPr>
          <w:rFonts w:ascii="BookAntiqua,Bold" w:hAnsi="BookAntiqua,Bold" w:cs="BookAntiqua,Bold"/>
          <w:bCs/>
          <w:i/>
        </w:rPr>
        <w:t>Dětství a dospívání jsou klíčovými obdobími, kdy se ve vztahu s biologickým a psychomotorickým vývojem dětí a mládeže utvářejí a formují i postoje k pohybové aktivitě. Pravidelná účast dětí a mládeže k organizované i volnočasové pohybové aktivitě příznivě ovlivňuje také vztah k pohybovým aktivitám a ke sportu v dospělosti.</w:t>
      </w:r>
      <w:r>
        <w:rPr>
          <w:rFonts w:ascii="BookAntiqua,Bold" w:hAnsi="BookAntiqua,Bold" w:cs="BookAntiqua,Bold"/>
          <w:b/>
          <w:bCs/>
        </w:rPr>
        <w:t xml:space="preserve"> </w:t>
      </w:r>
      <w:r w:rsidRPr="00CA101B">
        <w:rPr>
          <w:rFonts w:ascii="BookAntiqua,Bold" w:hAnsi="BookAntiqua,Bold" w:cs="BookAntiqua,Bold"/>
          <w:bCs/>
          <w:i/>
        </w:rPr>
        <w:t xml:space="preserve">Až 85% pohybových aktivit dětí v Evropské unii je realizováno </w:t>
      </w:r>
      <w:r w:rsidR="00CA101B" w:rsidRPr="00CA101B">
        <w:rPr>
          <w:rFonts w:ascii="BookAntiqua,Bold" w:hAnsi="BookAntiqua,Bold" w:cs="BookAntiqua,Bold"/>
          <w:bCs/>
          <w:i/>
        </w:rPr>
        <w:t>ve školách, proto má pohyb a sport v rámci školní výuky a ve školních sportovních klubech pro tělesný rozvoj žáků i pro jejich zdraví mimořádný význam. Navíc sport má i výchovný a socializační faktor a jedná se o účinnou formu prevence sociálně patologických jevů v chování dětí a mládeže.</w:t>
      </w:r>
    </w:p>
    <w:p w:rsidR="00CA101B" w:rsidRDefault="00CA101B" w:rsidP="0002367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</w:rPr>
      </w:pPr>
    </w:p>
    <w:p w:rsidR="00CA101B" w:rsidRPr="00023675" w:rsidRDefault="00CA101B" w:rsidP="0002367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</w:rPr>
      </w:pPr>
    </w:p>
    <w:p w:rsidR="00CA101B" w:rsidRDefault="00CA101B" w:rsidP="00CA10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>
        <w:rPr>
          <w:rFonts w:ascii="BookAntiqua,Bold" w:hAnsi="BookAntiqua,Bold" w:cs="BookAntiqua,Bold"/>
          <w:b/>
          <w:bCs/>
          <w:sz w:val="28"/>
          <w:szCs w:val="28"/>
        </w:rPr>
        <w:t>Veřejně přístupné sportovní a volnočasové areály města</w:t>
      </w:r>
    </w:p>
    <w:p w:rsidR="00CA101B" w:rsidRDefault="00CA101B" w:rsidP="00CA101B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CA101B" w:rsidRDefault="00CA101B" w:rsidP="00CA101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  <w:r w:rsidRPr="00CA101B">
        <w:rPr>
          <w:rFonts w:ascii="BookAntiqua,Bold" w:hAnsi="BookAntiqua,Bold" w:cs="BookAntiqua,Bold"/>
          <w:bCs/>
          <w:i/>
        </w:rPr>
        <w:t>Veřejně přístupné volnočasové areály jsou velmi důležité pro rozšíření pohybových a sportovních aktivit obyvatel, především pak dětí a mládeže. Umožňují různorodé pohybové aktivity, kterých se mohou zúčastnit jednotlivci i skupiny zájemců, umožňují setkávání a podporují soutěživost. Sportování celých rodin pak děti motivuje nejvíce a příklad rodičů je pro ně nejlepším impulzem pro rozvoj aktivního způsobu života v dospělosti.</w:t>
      </w:r>
    </w:p>
    <w:p w:rsidR="00DB6A7D" w:rsidRDefault="00DB6A7D" w:rsidP="00CA101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  <w:r>
        <w:rPr>
          <w:rFonts w:ascii="BookAntiqua,Bold" w:hAnsi="BookAntiqua,Bold" w:cs="BookAntiqua,Bold"/>
          <w:bCs/>
          <w:i/>
        </w:rPr>
        <w:t xml:space="preserve">Snahou města bude vytvářet základní podmínky pro různé formy sportu a pohybových </w:t>
      </w:r>
      <w:r w:rsidR="00EE22F9">
        <w:rPr>
          <w:rFonts w:ascii="BookAntiqua,Bold" w:hAnsi="BookAntiqua,Bold" w:cs="BookAntiqua,Bold"/>
          <w:bCs/>
          <w:i/>
        </w:rPr>
        <w:t> aktivit, včetně stabiliz</w:t>
      </w:r>
      <w:r w:rsidR="002C1A04">
        <w:rPr>
          <w:rFonts w:ascii="BookAntiqua,Bold" w:hAnsi="BookAntiqua,Bold" w:cs="BookAntiqua,Bold"/>
          <w:bCs/>
          <w:i/>
        </w:rPr>
        <w:t>ace sportovního zázemí dle potře</w:t>
      </w:r>
      <w:r w:rsidR="00EE22F9">
        <w:rPr>
          <w:rFonts w:ascii="BookAntiqua,Bold" w:hAnsi="BookAntiqua,Bold" w:cs="BookAntiqua,Bold"/>
          <w:bCs/>
          <w:i/>
        </w:rPr>
        <w:t>b obyvatel města. Výstavba sportovní vybavenosti nebo volnočasových sportovních areálů ale znamená pro obce nejenom vysokou vstupní investici, ale také každoroční výdaje na provoz a údržbu hřišť. Další finance jsou potřeba na rekonstrukce sportovních povrchů hřišť a zázemí sportovišť po určité době užívání a obnovu sportovního vybavení.</w:t>
      </w:r>
    </w:p>
    <w:p w:rsidR="00EE22F9" w:rsidRDefault="00EE22F9" w:rsidP="00CA101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EE22F9" w:rsidRPr="00CA101B" w:rsidRDefault="00EE22F9" w:rsidP="00CA101B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1869BA" w:rsidRPr="002F6A30" w:rsidRDefault="001869BA" w:rsidP="004B7E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</w:rPr>
      </w:pPr>
    </w:p>
    <w:p w:rsidR="00EE22F9" w:rsidRDefault="00EE22F9" w:rsidP="00EE22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>
        <w:rPr>
          <w:rFonts w:ascii="BookAntiqua,Bold" w:hAnsi="BookAntiqua,Bold" w:cs="BookAntiqua,Bold"/>
          <w:b/>
          <w:bCs/>
          <w:sz w:val="28"/>
          <w:szCs w:val="28"/>
        </w:rPr>
        <w:t>Přehled sportovních zařízení ve městě Chřibská.</w:t>
      </w:r>
    </w:p>
    <w:p w:rsidR="00C636B9" w:rsidRPr="00C636B9" w:rsidRDefault="00C636B9" w:rsidP="00C636B9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18326D" w:rsidRDefault="0018326D" w:rsidP="0018326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8"/>
          <w:szCs w:val="18"/>
        </w:rPr>
      </w:pPr>
    </w:p>
    <w:p w:rsidR="003A126D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Travnaté fotbalové hřiště</w:t>
      </w:r>
    </w:p>
    <w:p w:rsidR="004F157C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Víceúčelové hřiště u Základní školy (běžecké dráhy, minihřiště, pískové doskočiště, stůl na stolní tenis apod..)</w:t>
      </w:r>
    </w:p>
    <w:p w:rsidR="004F157C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Dětské hřiště u Mateřské školy</w:t>
      </w:r>
    </w:p>
    <w:p w:rsidR="004F157C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Dětské hřiště na náměstí za restauraci Radnice</w:t>
      </w:r>
    </w:p>
    <w:p w:rsidR="004F157C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Minigolf</w:t>
      </w:r>
    </w:p>
    <w:p w:rsidR="004F157C" w:rsidRDefault="004F157C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Tenisové hřiště v Horní Chřibské</w:t>
      </w:r>
    </w:p>
    <w:p w:rsidR="001A0915" w:rsidRDefault="001A0915" w:rsidP="004F15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Stolní tenis (dva stoly) sál restaurace Radnice</w:t>
      </w:r>
    </w:p>
    <w:p w:rsidR="00C636B9" w:rsidRDefault="00C636B9" w:rsidP="00C636B9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C636B9" w:rsidRDefault="00C636B9" w:rsidP="00C636B9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C636B9" w:rsidRDefault="00C636B9" w:rsidP="00C636B9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C636B9" w:rsidRPr="00C636B9" w:rsidRDefault="00C636B9" w:rsidP="00C636B9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3759D5" w:rsidRDefault="003759D5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862D92" w:rsidRDefault="00862D92" w:rsidP="00862D9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proofErr w:type="gramStart"/>
      <w:r>
        <w:rPr>
          <w:rFonts w:ascii="BookAntiqua,Bold" w:hAnsi="BookAntiqua,Bold" w:cs="BookAntiqua,Bold"/>
          <w:b/>
          <w:bCs/>
          <w:sz w:val="28"/>
          <w:szCs w:val="28"/>
        </w:rPr>
        <w:t>7.</w:t>
      </w:r>
      <w:r w:rsidR="001A0915" w:rsidRPr="00862D92">
        <w:rPr>
          <w:rFonts w:ascii="BookAntiqua,Bold" w:hAnsi="BookAntiqua,Bold" w:cs="BookAntiqua,Bold"/>
          <w:b/>
          <w:bCs/>
          <w:sz w:val="28"/>
          <w:szCs w:val="28"/>
        </w:rPr>
        <w:t>Podpora</w:t>
      </w:r>
      <w:proofErr w:type="gramEnd"/>
      <w:r w:rsidR="001A0915" w:rsidRPr="00862D92">
        <w:rPr>
          <w:rFonts w:ascii="BookAntiqua,Bold" w:hAnsi="BookAntiqua,Bold" w:cs="BookAntiqua,Bold"/>
          <w:b/>
          <w:bCs/>
          <w:sz w:val="28"/>
          <w:szCs w:val="28"/>
        </w:rPr>
        <w:t xml:space="preserve"> města k rozvoji spor</w:t>
      </w:r>
      <w:r w:rsidRPr="00862D92">
        <w:rPr>
          <w:rFonts w:ascii="BookAntiqua,Bold" w:hAnsi="BookAntiqua,Bold" w:cs="BookAntiqua,Bold"/>
          <w:b/>
          <w:bCs/>
          <w:sz w:val="28"/>
          <w:szCs w:val="28"/>
        </w:rPr>
        <w:t>tu</w:t>
      </w:r>
    </w:p>
    <w:p w:rsidR="00C636B9" w:rsidRPr="00862D92" w:rsidRDefault="00C636B9" w:rsidP="00862D9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862D92" w:rsidRDefault="00862D92" w:rsidP="00862D9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</w:p>
    <w:p w:rsidR="001A0915" w:rsidRDefault="00862D92" w:rsidP="00862D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BookAntiqua,Bold" w:hAnsi="BookAntiqua,Bold" w:cs="BookAntiqua,Bold"/>
          <w:bCs/>
          <w:i/>
        </w:rPr>
      </w:pPr>
      <w:r>
        <w:rPr>
          <w:rFonts w:ascii="BookAntiqua,Bold" w:hAnsi="BookAntiqua,Bold" w:cs="BookAntiqua,Bold"/>
          <w:b/>
          <w:bCs/>
          <w:sz w:val="28"/>
          <w:szCs w:val="28"/>
        </w:rPr>
        <w:t xml:space="preserve">       </w:t>
      </w:r>
      <w:r>
        <w:rPr>
          <w:rFonts w:ascii="BookAntiqua,Bold" w:hAnsi="BookAntiqua,Bold" w:cs="BookAntiqua,Bold"/>
          <w:bCs/>
          <w:i/>
        </w:rPr>
        <w:t xml:space="preserve"> </w:t>
      </w:r>
      <w:r w:rsidR="001A0915">
        <w:rPr>
          <w:rFonts w:ascii="BookAntiqua,Bold" w:hAnsi="BookAntiqua,Bold" w:cs="BookAntiqua,Bold"/>
          <w:bCs/>
          <w:i/>
        </w:rPr>
        <w:t>Město Chřibská zajišťuje fungování, udržování a i provozování svých sportovních zázemí.</w:t>
      </w:r>
      <w:r w:rsidR="00837D2E">
        <w:rPr>
          <w:rFonts w:ascii="BookAntiqua,Bold" w:hAnsi="BookAntiqua,Bold" w:cs="BookAntiqua,Bold"/>
          <w:bCs/>
          <w:i/>
        </w:rPr>
        <w:t xml:space="preserve"> Dále město podporuje činnost sportovních spolků pravidelnými dotacemi dle směrnice č. 9/2015. Na základě žádostí spolků zastupitelstvo města zpravidla v listopadu schválí výše dotací a po zpracování a </w:t>
      </w:r>
      <w:r w:rsidR="00837D2E">
        <w:rPr>
          <w:rFonts w:ascii="BookAntiqua,Bold" w:hAnsi="BookAntiqua,Bold" w:cs="BookAntiqua,Bold"/>
          <w:bCs/>
          <w:i/>
        </w:rPr>
        <w:lastRenderedPageBreak/>
        <w:t>podepsání smluv je snahou města odeslání finančních prostředků do 31. Března následujícího roku na účty spolků.</w:t>
      </w:r>
    </w:p>
    <w:p w:rsidR="00837D2E" w:rsidRDefault="00837D2E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  <w:r>
        <w:rPr>
          <w:rFonts w:ascii="BookAntiqua,Bold" w:hAnsi="BookAntiqua,Bold" w:cs="BookAntiqua,Bold"/>
          <w:bCs/>
          <w:i/>
        </w:rPr>
        <w:t xml:space="preserve">               Město se dále snaží udržovat sportovní areály a příslušné zázemí ve vlastnictví města v odpovídajícím stavu a umo</w:t>
      </w:r>
      <w:r w:rsidR="00C636B9">
        <w:rPr>
          <w:rFonts w:ascii="BookAntiqua,Bold" w:hAnsi="BookAntiqua,Bold" w:cs="BookAntiqua,Bold"/>
          <w:bCs/>
          <w:i/>
        </w:rPr>
        <w:t xml:space="preserve">žňuje obyvatelům jejich </w:t>
      </w:r>
      <w:proofErr w:type="gramStart"/>
      <w:r w:rsidR="00C636B9">
        <w:rPr>
          <w:rFonts w:ascii="BookAntiqua,Bold" w:hAnsi="BookAntiqua,Bold" w:cs="BookAntiqua,Bold"/>
          <w:bCs/>
          <w:i/>
        </w:rPr>
        <w:t xml:space="preserve">využití. </w:t>
      </w:r>
      <w:proofErr w:type="gramEnd"/>
      <w:r>
        <w:rPr>
          <w:rFonts w:ascii="BookAntiqua,Bold" w:hAnsi="BookAntiqua,Bold" w:cs="BookAntiqua,Bold"/>
          <w:bCs/>
          <w:i/>
        </w:rPr>
        <w:t xml:space="preserve">Snahou města je i průběžné </w:t>
      </w:r>
      <w:proofErr w:type="spellStart"/>
      <w:r>
        <w:rPr>
          <w:rFonts w:ascii="BookAntiqua,Bold" w:hAnsi="BookAntiqua,Bold" w:cs="BookAntiqua,Bold"/>
          <w:bCs/>
          <w:i/>
        </w:rPr>
        <w:t>dovybavování</w:t>
      </w:r>
      <w:proofErr w:type="spellEnd"/>
      <w:r>
        <w:rPr>
          <w:rFonts w:ascii="BookAntiqua,Bold" w:hAnsi="BookAntiqua,Bold" w:cs="BookAntiqua,Bold"/>
          <w:bCs/>
          <w:i/>
        </w:rPr>
        <w:t xml:space="preserve"> sportovních zařízení, dětských hřišť, modernizace sportovních zařízení, propagace sportovních akcí, rozvoj cyklostezek, turistických cest nebo naučných stezek na katastru města.</w:t>
      </w:r>
    </w:p>
    <w:p w:rsidR="00C636B9" w:rsidRDefault="00C636B9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C636B9" w:rsidRDefault="00C636B9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862D92" w:rsidRDefault="00862D92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862D92" w:rsidRDefault="00862D92" w:rsidP="00862D9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  <w:r>
        <w:rPr>
          <w:rFonts w:ascii="BookAntiqua,Bold" w:hAnsi="BookAntiqua,Bold" w:cs="BookAntiqua,Bold"/>
          <w:b/>
          <w:bCs/>
          <w:sz w:val="28"/>
          <w:szCs w:val="28"/>
        </w:rPr>
        <w:t>Závěrečná ustanovení.</w:t>
      </w:r>
    </w:p>
    <w:p w:rsidR="00862D92" w:rsidRDefault="00862D92" w:rsidP="00862D92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862D92" w:rsidRDefault="00862D92" w:rsidP="00862D92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8"/>
          <w:szCs w:val="28"/>
        </w:rPr>
      </w:pPr>
    </w:p>
    <w:p w:rsidR="00862D92" w:rsidRDefault="0082248F" w:rsidP="008224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Cs/>
          <w:i/>
        </w:rPr>
      </w:pPr>
      <w:r>
        <w:rPr>
          <w:rFonts w:ascii="BookAntiqua,Bold" w:hAnsi="BookAntiqua,Bold" w:cs="BookAntiqua,Bold"/>
          <w:bCs/>
          <w:i/>
        </w:rPr>
        <w:t xml:space="preserve">Plán rozvoje sportu ve Chřibské schválilo zastupitelstvo města na svém zasedání konaném </w:t>
      </w:r>
      <w:proofErr w:type="gramStart"/>
      <w:r>
        <w:rPr>
          <w:rFonts w:ascii="BookAntiqua,Bold" w:hAnsi="BookAntiqua,Bold" w:cs="BookAntiqua,Bold"/>
          <w:bCs/>
          <w:i/>
        </w:rPr>
        <w:t>21.8.2019</w:t>
      </w:r>
      <w:proofErr w:type="gramEnd"/>
      <w:r>
        <w:rPr>
          <w:rFonts w:ascii="BookAntiqua,Bold" w:hAnsi="BookAntiqua,Bold" w:cs="BookAntiqua,Bold"/>
          <w:bCs/>
          <w:i/>
        </w:rPr>
        <w:t xml:space="preserve"> a to usnesením č.4/2019.</w:t>
      </w:r>
    </w:p>
    <w:p w:rsidR="0082248F" w:rsidRPr="0082248F" w:rsidRDefault="0082248F" w:rsidP="008224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Cs/>
          <w:i/>
        </w:rPr>
      </w:pPr>
      <w:r>
        <w:rPr>
          <w:rFonts w:ascii="BookAntiqua,Bold" w:hAnsi="BookAntiqua,Bold" w:cs="BookAntiqua,Bold"/>
          <w:bCs/>
          <w:i/>
        </w:rPr>
        <w:t xml:space="preserve">Plán rozvoje sportu ve Chřibské je zveřejněn na webových stránkách Města </w:t>
      </w:r>
      <w:proofErr w:type="gramStart"/>
      <w:r>
        <w:rPr>
          <w:rFonts w:ascii="BookAntiqua,Bold" w:hAnsi="BookAntiqua,Bold" w:cs="BookAntiqua,Bold"/>
          <w:bCs/>
          <w:i/>
        </w:rPr>
        <w:t>Chřibská a nebo je</w:t>
      </w:r>
      <w:proofErr w:type="gramEnd"/>
      <w:r>
        <w:rPr>
          <w:rFonts w:ascii="BookAntiqua,Bold" w:hAnsi="BookAntiqua,Bold" w:cs="BookAntiqua,Bold"/>
          <w:bCs/>
          <w:i/>
        </w:rPr>
        <w:t xml:space="preserve"> dostupný ve fyzické podobě na městském úřadě.</w:t>
      </w:r>
    </w:p>
    <w:p w:rsidR="00862D92" w:rsidRDefault="00862D92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82248F" w:rsidRDefault="0082248F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82248F" w:rsidRDefault="0082248F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Cs/>
          <w:i/>
        </w:rPr>
      </w:pPr>
    </w:p>
    <w:p w:rsidR="00862D92" w:rsidRPr="00DC4851" w:rsidRDefault="0082248F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 w:rsidRPr="00DC4851">
        <w:rPr>
          <w:rFonts w:ascii="BookAntiqua,Bold" w:hAnsi="BookAntiqua,Bold" w:cs="BookAntiqua,Bold"/>
          <w:b/>
          <w:bCs/>
          <w:i/>
        </w:rPr>
        <w:t xml:space="preserve">Jan </w:t>
      </w:r>
      <w:proofErr w:type="gramStart"/>
      <w:r w:rsidRPr="00DC4851">
        <w:rPr>
          <w:rFonts w:ascii="BookAntiqua,Bold" w:hAnsi="BookAntiqua,Bold" w:cs="BookAntiqua,Bold"/>
          <w:b/>
          <w:bCs/>
          <w:i/>
        </w:rPr>
        <w:t>Machač                                                                            Jaromír</w:t>
      </w:r>
      <w:proofErr w:type="gramEnd"/>
      <w:r w:rsidRPr="00DC4851">
        <w:rPr>
          <w:rFonts w:ascii="BookAntiqua,Bold" w:hAnsi="BookAntiqua,Bold" w:cs="BookAntiqua,Bold"/>
          <w:b/>
          <w:bCs/>
          <w:i/>
        </w:rPr>
        <w:t xml:space="preserve"> Nepovím</w:t>
      </w:r>
    </w:p>
    <w:p w:rsidR="0082248F" w:rsidRPr="00DC4851" w:rsidRDefault="00DC4851" w:rsidP="003759D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i/>
        </w:rPr>
      </w:pPr>
      <w:r>
        <w:rPr>
          <w:rFonts w:ascii="BookAntiqua,Bold" w:hAnsi="BookAntiqua,Bold" w:cs="BookAntiqua,Bold"/>
          <w:b/>
          <w:bCs/>
          <w:i/>
        </w:rPr>
        <w:t>s</w:t>
      </w:r>
      <w:r w:rsidR="0082248F" w:rsidRPr="00DC4851">
        <w:rPr>
          <w:rFonts w:ascii="BookAntiqua,Bold" w:hAnsi="BookAntiqua,Bold" w:cs="BookAntiqua,Bold"/>
          <w:b/>
          <w:bCs/>
          <w:i/>
        </w:rPr>
        <w:t xml:space="preserve">tarosta </w:t>
      </w:r>
      <w:proofErr w:type="gramStart"/>
      <w:r w:rsidR="0082248F" w:rsidRPr="00DC4851">
        <w:rPr>
          <w:rFonts w:ascii="BookAntiqua,Bold" w:hAnsi="BookAntiqua,Bold" w:cs="BookAntiqua,Bold"/>
          <w:b/>
          <w:bCs/>
          <w:i/>
        </w:rPr>
        <w:t xml:space="preserve">města         </w:t>
      </w:r>
      <w:bookmarkStart w:id="0" w:name="_GoBack"/>
      <w:bookmarkEnd w:id="0"/>
      <w:r w:rsidR="0082248F" w:rsidRPr="00DC4851">
        <w:rPr>
          <w:rFonts w:ascii="BookAntiqua,Bold" w:hAnsi="BookAntiqua,Bold" w:cs="BookAntiqua,Bold"/>
          <w:b/>
          <w:bCs/>
          <w:i/>
        </w:rPr>
        <w:t xml:space="preserve">                                                        </w:t>
      </w:r>
      <w:r>
        <w:rPr>
          <w:rFonts w:ascii="BookAntiqua,Bold" w:hAnsi="BookAntiqua,Bold" w:cs="BookAntiqua,Bold"/>
          <w:b/>
          <w:bCs/>
          <w:i/>
        </w:rPr>
        <w:t>m</w:t>
      </w:r>
      <w:r w:rsidR="0082248F" w:rsidRPr="00DC4851">
        <w:rPr>
          <w:rFonts w:ascii="BookAntiqua,Bold" w:hAnsi="BookAntiqua,Bold" w:cs="BookAntiqua,Bold"/>
          <w:b/>
          <w:bCs/>
          <w:i/>
        </w:rPr>
        <w:t>ístostarosta</w:t>
      </w:r>
      <w:proofErr w:type="gramEnd"/>
      <w:r w:rsidR="0082248F" w:rsidRPr="00DC4851">
        <w:rPr>
          <w:rFonts w:ascii="BookAntiqua,Bold" w:hAnsi="BookAntiqua,Bold" w:cs="BookAntiqua,Bold"/>
          <w:b/>
          <w:bCs/>
          <w:i/>
        </w:rPr>
        <w:t xml:space="preserve"> města</w:t>
      </w:r>
    </w:p>
    <w:sectPr w:rsidR="0082248F" w:rsidRPr="00DC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F8"/>
    <w:multiLevelType w:val="hybridMultilevel"/>
    <w:tmpl w:val="39A60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5E0C"/>
    <w:multiLevelType w:val="hybridMultilevel"/>
    <w:tmpl w:val="AB6487D4"/>
    <w:lvl w:ilvl="0" w:tplc="87008E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274F3"/>
    <w:multiLevelType w:val="hybridMultilevel"/>
    <w:tmpl w:val="DCB46B6A"/>
    <w:lvl w:ilvl="0" w:tplc="7A64B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D07B6"/>
    <w:multiLevelType w:val="hybridMultilevel"/>
    <w:tmpl w:val="23F85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24AC"/>
    <w:multiLevelType w:val="hybridMultilevel"/>
    <w:tmpl w:val="ADD2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B3E8D"/>
    <w:multiLevelType w:val="hybridMultilevel"/>
    <w:tmpl w:val="B32E7044"/>
    <w:lvl w:ilvl="0" w:tplc="7A64B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735A3"/>
    <w:multiLevelType w:val="hybridMultilevel"/>
    <w:tmpl w:val="37A067AC"/>
    <w:lvl w:ilvl="0" w:tplc="7A64B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51075"/>
    <w:multiLevelType w:val="hybridMultilevel"/>
    <w:tmpl w:val="FC2E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0841"/>
    <w:multiLevelType w:val="hybridMultilevel"/>
    <w:tmpl w:val="585AEDC0"/>
    <w:lvl w:ilvl="0" w:tplc="7A64B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21419C"/>
    <w:multiLevelType w:val="hybridMultilevel"/>
    <w:tmpl w:val="09A2E68C"/>
    <w:lvl w:ilvl="0" w:tplc="7A64B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420505"/>
    <w:multiLevelType w:val="hybridMultilevel"/>
    <w:tmpl w:val="06100FB2"/>
    <w:lvl w:ilvl="0" w:tplc="B24829A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741D4"/>
    <w:multiLevelType w:val="hybridMultilevel"/>
    <w:tmpl w:val="6BA86B12"/>
    <w:lvl w:ilvl="0" w:tplc="41A4AF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2E5598"/>
    <w:multiLevelType w:val="multilevel"/>
    <w:tmpl w:val="C63C601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42"/>
    <w:rsid w:val="00023675"/>
    <w:rsid w:val="00100927"/>
    <w:rsid w:val="0018326D"/>
    <w:rsid w:val="001869BA"/>
    <w:rsid w:val="001A0915"/>
    <w:rsid w:val="002C1A04"/>
    <w:rsid w:val="002F64F8"/>
    <w:rsid w:val="002F6A30"/>
    <w:rsid w:val="00340B1E"/>
    <w:rsid w:val="003759D5"/>
    <w:rsid w:val="003A126D"/>
    <w:rsid w:val="004B7E57"/>
    <w:rsid w:val="004D3596"/>
    <w:rsid w:val="004D35D7"/>
    <w:rsid w:val="004F157C"/>
    <w:rsid w:val="00585AEB"/>
    <w:rsid w:val="00586CBC"/>
    <w:rsid w:val="006A6226"/>
    <w:rsid w:val="0071476D"/>
    <w:rsid w:val="0073079A"/>
    <w:rsid w:val="0076325F"/>
    <w:rsid w:val="00793B42"/>
    <w:rsid w:val="007A3B75"/>
    <w:rsid w:val="007C79D2"/>
    <w:rsid w:val="0082248F"/>
    <w:rsid w:val="00837D2E"/>
    <w:rsid w:val="0085519F"/>
    <w:rsid w:val="00862D92"/>
    <w:rsid w:val="00864A42"/>
    <w:rsid w:val="008856C1"/>
    <w:rsid w:val="009741A6"/>
    <w:rsid w:val="009A194A"/>
    <w:rsid w:val="009E2610"/>
    <w:rsid w:val="009E3E52"/>
    <w:rsid w:val="009F656B"/>
    <w:rsid w:val="00A3174E"/>
    <w:rsid w:val="00A827C5"/>
    <w:rsid w:val="00AF7804"/>
    <w:rsid w:val="00C30349"/>
    <w:rsid w:val="00C636B9"/>
    <w:rsid w:val="00CA101B"/>
    <w:rsid w:val="00D27A43"/>
    <w:rsid w:val="00DB6A7D"/>
    <w:rsid w:val="00DC4851"/>
    <w:rsid w:val="00EE22F9"/>
    <w:rsid w:val="00FC1757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A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A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 systému Windows</cp:lastModifiedBy>
  <cp:revision>14</cp:revision>
  <cp:lastPrinted>2019-07-26T05:55:00Z</cp:lastPrinted>
  <dcterms:created xsi:type="dcterms:W3CDTF">2019-07-25T07:36:00Z</dcterms:created>
  <dcterms:modified xsi:type="dcterms:W3CDTF">2019-08-14T11:32:00Z</dcterms:modified>
</cp:coreProperties>
</file>